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A9" w:rsidRDefault="008D5DB8">
      <w:pPr>
        <w:pStyle w:val="a3"/>
        <w:spacing w:before="58"/>
        <w:ind w:left="165"/>
      </w:pPr>
      <w:r>
        <w:t>（別紙様式２の７）</w:t>
      </w:r>
    </w:p>
    <w:p w:rsidR="00E03AA9" w:rsidRDefault="008D5DB8">
      <w:pPr>
        <w:pStyle w:val="a4"/>
      </w:pPr>
      <w:r>
        <w:rPr>
          <w:w w:val="105"/>
        </w:rPr>
        <w:t>インタ</w:t>
      </w:r>
      <w:r>
        <w:rPr>
          <w:w w:val="130"/>
        </w:rPr>
        <w:t>ー</w:t>
      </w:r>
      <w:r>
        <w:rPr>
          <w:w w:val="105"/>
        </w:rPr>
        <w:t>フェロンフリ</w:t>
      </w:r>
      <w:r>
        <w:rPr>
          <w:w w:val="130"/>
        </w:rPr>
        <w:t>ー</w:t>
      </w:r>
      <w:r>
        <w:rPr>
          <w:w w:val="105"/>
        </w:rPr>
        <w:t>治療</w:t>
      </w:r>
      <w:r>
        <w:rPr>
          <w:w w:val="80"/>
        </w:rPr>
        <w:t>（</w:t>
      </w:r>
      <w:r>
        <w:rPr>
          <w:w w:val="105"/>
        </w:rPr>
        <w:t>再治療</w:t>
      </w:r>
      <w:r>
        <w:rPr>
          <w:w w:val="80"/>
        </w:rPr>
        <w:t>）</w:t>
      </w:r>
      <w:r>
        <w:rPr>
          <w:w w:val="105"/>
        </w:rPr>
        <w:t>に対する意見書</w:t>
      </w:r>
    </w:p>
    <w:p w:rsidR="00E03AA9" w:rsidRDefault="00E03AA9">
      <w:pPr>
        <w:pStyle w:val="a3"/>
        <w:spacing w:before="4"/>
        <w:rPr>
          <w:rFonts w:ascii="Yu Gothic UI"/>
          <w:b/>
          <w:sz w:val="12"/>
        </w:rPr>
      </w:pPr>
    </w:p>
    <w:p w:rsidR="00E03AA9" w:rsidRDefault="008D5DB8">
      <w:pPr>
        <w:pStyle w:val="a3"/>
        <w:spacing w:before="69"/>
        <w:ind w:left="165"/>
      </w:pPr>
      <w:r>
        <w:t>返信先医療機関及び担当医</w:t>
      </w:r>
    </w:p>
    <w:p w:rsidR="00E03AA9" w:rsidRDefault="00E03AA9">
      <w:pPr>
        <w:pStyle w:val="a3"/>
        <w:rPr>
          <w:sz w:val="20"/>
        </w:rPr>
      </w:pPr>
    </w:p>
    <w:p w:rsidR="00E03AA9" w:rsidRDefault="00E03AA9">
      <w:pPr>
        <w:pStyle w:val="a3"/>
        <w:spacing w:before="8" w:after="1"/>
        <w:rPr>
          <w:sz w:val="28"/>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
        <w:gridCol w:w="3001"/>
        <w:gridCol w:w="1001"/>
        <w:gridCol w:w="3277"/>
        <w:gridCol w:w="1831"/>
      </w:tblGrid>
      <w:tr w:rsidR="00E03AA9">
        <w:trPr>
          <w:trHeight w:val="410"/>
        </w:trPr>
        <w:tc>
          <w:tcPr>
            <w:tcW w:w="1007" w:type="dxa"/>
            <w:tcBorders>
              <w:left w:val="nil"/>
              <w:bottom w:val="single" w:sz="12" w:space="0" w:color="000000"/>
              <w:right w:val="nil"/>
            </w:tcBorders>
          </w:tcPr>
          <w:p w:rsidR="00E03AA9" w:rsidRDefault="00E03AA9">
            <w:pPr>
              <w:pStyle w:val="TableParagraph"/>
              <w:rPr>
                <w:rFonts w:ascii="Times New Roman"/>
                <w:sz w:val="20"/>
              </w:rPr>
            </w:pPr>
          </w:p>
        </w:tc>
        <w:tc>
          <w:tcPr>
            <w:tcW w:w="3001" w:type="dxa"/>
            <w:tcBorders>
              <w:left w:val="nil"/>
              <w:bottom w:val="single" w:sz="12" w:space="0" w:color="000000"/>
              <w:right w:val="nil"/>
            </w:tcBorders>
          </w:tcPr>
          <w:p w:rsidR="00E03AA9" w:rsidRDefault="00E03AA9">
            <w:pPr>
              <w:pStyle w:val="TableParagraph"/>
              <w:rPr>
                <w:rFonts w:ascii="Times New Roman"/>
                <w:sz w:val="20"/>
              </w:rPr>
            </w:pPr>
          </w:p>
        </w:tc>
        <w:tc>
          <w:tcPr>
            <w:tcW w:w="1001" w:type="dxa"/>
            <w:tcBorders>
              <w:left w:val="nil"/>
              <w:bottom w:val="single" w:sz="12" w:space="0" w:color="000000"/>
              <w:right w:val="nil"/>
            </w:tcBorders>
          </w:tcPr>
          <w:p w:rsidR="00E03AA9" w:rsidRDefault="00E03AA9">
            <w:pPr>
              <w:pStyle w:val="TableParagraph"/>
              <w:rPr>
                <w:rFonts w:ascii="Times New Roman"/>
                <w:sz w:val="20"/>
              </w:rPr>
            </w:pPr>
          </w:p>
        </w:tc>
        <w:tc>
          <w:tcPr>
            <w:tcW w:w="5108" w:type="dxa"/>
            <w:gridSpan w:val="2"/>
            <w:tcBorders>
              <w:top w:val="nil"/>
              <w:left w:val="nil"/>
              <w:bottom w:val="single" w:sz="12" w:space="0" w:color="000000"/>
              <w:right w:val="nil"/>
            </w:tcBorders>
          </w:tcPr>
          <w:p w:rsidR="00E03AA9" w:rsidRDefault="00E03AA9">
            <w:pPr>
              <w:pStyle w:val="TableParagraph"/>
              <w:rPr>
                <w:rFonts w:ascii="Times New Roman"/>
                <w:sz w:val="20"/>
              </w:rPr>
            </w:pPr>
          </w:p>
        </w:tc>
      </w:tr>
      <w:tr w:rsidR="00E03AA9">
        <w:trPr>
          <w:trHeight w:val="405"/>
        </w:trPr>
        <w:tc>
          <w:tcPr>
            <w:tcW w:w="1007" w:type="dxa"/>
            <w:tcBorders>
              <w:top w:val="single" w:sz="12" w:space="0" w:color="000000"/>
              <w:bottom w:val="nil"/>
            </w:tcBorders>
          </w:tcPr>
          <w:p w:rsidR="00E03AA9" w:rsidRDefault="008D5DB8">
            <w:pPr>
              <w:pStyle w:val="TableParagraph"/>
              <w:spacing w:before="62"/>
              <w:ind w:left="48" w:right="17"/>
              <w:jc w:val="center"/>
            </w:pPr>
            <w:r>
              <w:rPr>
                <w:w w:val="120"/>
              </w:rPr>
              <w:t>フリガナ</w:t>
            </w:r>
          </w:p>
        </w:tc>
        <w:tc>
          <w:tcPr>
            <w:tcW w:w="3001" w:type="dxa"/>
            <w:tcBorders>
              <w:top w:val="single" w:sz="12" w:space="0" w:color="000000"/>
              <w:bottom w:val="single" w:sz="12" w:space="0" w:color="000000"/>
            </w:tcBorders>
          </w:tcPr>
          <w:p w:rsidR="00E03AA9" w:rsidRDefault="00E03AA9">
            <w:pPr>
              <w:pStyle w:val="TableParagraph"/>
              <w:rPr>
                <w:rFonts w:ascii="Times New Roman"/>
                <w:sz w:val="20"/>
              </w:rPr>
            </w:pPr>
          </w:p>
        </w:tc>
        <w:tc>
          <w:tcPr>
            <w:tcW w:w="1001" w:type="dxa"/>
            <w:tcBorders>
              <w:top w:val="single" w:sz="12" w:space="0" w:color="000000"/>
              <w:bottom w:val="single" w:sz="12" w:space="0" w:color="000000"/>
            </w:tcBorders>
          </w:tcPr>
          <w:p w:rsidR="00E03AA9" w:rsidRDefault="008D5DB8">
            <w:pPr>
              <w:pStyle w:val="TableParagraph"/>
              <w:spacing w:before="62"/>
              <w:ind w:left="215" w:right="174"/>
              <w:jc w:val="center"/>
            </w:pPr>
            <w:r>
              <w:t>性別</w:t>
            </w:r>
          </w:p>
        </w:tc>
        <w:tc>
          <w:tcPr>
            <w:tcW w:w="5108" w:type="dxa"/>
            <w:gridSpan w:val="2"/>
            <w:tcBorders>
              <w:top w:val="single" w:sz="12" w:space="0" w:color="000000"/>
              <w:bottom w:val="single" w:sz="12" w:space="0" w:color="000000"/>
            </w:tcBorders>
          </w:tcPr>
          <w:p w:rsidR="00E03AA9" w:rsidRDefault="008D5DB8">
            <w:pPr>
              <w:pStyle w:val="TableParagraph"/>
              <w:spacing w:before="52"/>
              <w:ind w:left="1775" w:right="1732"/>
              <w:jc w:val="center"/>
            </w:pPr>
            <w:r>
              <w:t>生年月日（年齢）</w:t>
            </w:r>
          </w:p>
        </w:tc>
      </w:tr>
      <w:tr w:rsidR="00E03AA9">
        <w:trPr>
          <w:trHeight w:val="410"/>
        </w:trPr>
        <w:tc>
          <w:tcPr>
            <w:tcW w:w="1007" w:type="dxa"/>
            <w:tcBorders>
              <w:top w:val="nil"/>
            </w:tcBorders>
          </w:tcPr>
          <w:p w:rsidR="00E03AA9" w:rsidRDefault="008D5DB8">
            <w:pPr>
              <w:pStyle w:val="TableParagraph"/>
              <w:spacing w:before="62"/>
              <w:ind w:left="49" w:right="17"/>
              <w:jc w:val="center"/>
            </w:pPr>
            <w:r>
              <w:t>患者氏名</w:t>
            </w:r>
          </w:p>
        </w:tc>
        <w:tc>
          <w:tcPr>
            <w:tcW w:w="3001" w:type="dxa"/>
            <w:tcBorders>
              <w:top w:val="single" w:sz="12" w:space="0" w:color="000000"/>
            </w:tcBorders>
          </w:tcPr>
          <w:p w:rsidR="00E03AA9" w:rsidRDefault="00E03AA9">
            <w:pPr>
              <w:pStyle w:val="TableParagraph"/>
              <w:rPr>
                <w:rFonts w:ascii="Times New Roman"/>
                <w:sz w:val="20"/>
              </w:rPr>
            </w:pPr>
          </w:p>
        </w:tc>
        <w:tc>
          <w:tcPr>
            <w:tcW w:w="1001" w:type="dxa"/>
            <w:tcBorders>
              <w:top w:val="single" w:sz="12" w:space="0" w:color="000000"/>
            </w:tcBorders>
          </w:tcPr>
          <w:p w:rsidR="00E03AA9" w:rsidRDefault="008D5DB8">
            <w:pPr>
              <w:pStyle w:val="TableParagraph"/>
              <w:spacing w:before="62"/>
              <w:ind w:left="217" w:right="174"/>
              <w:jc w:val="center"/>
            </w:pPr>
            <w:r>
              <w:t>男・女</w:t>
            </w:r>
          </w:p>
        </w:tc>
        <w:tc>
          <w:tcPr>
            <w:tcW w:w="3277" w:type="dxa"/>
            <w:tcBorders>
              <w:top w:val="single" w:sz="12" w:space="0" w:color="000000"/>
              <w:right w:val="nil"/>
            </w:tcBorders>
          </w:tcPr>
          <w:p w:rsidR="00E03AA9" w:rsidRDefault="008D5DB8">
            <w:pPr>
              <w:pStyle w:val="TableParagraph"/>
              <w:tabs>
                <w:tab w:val="left" w:pos="1814"/>
                <w:tab w:val="left" w:pos="2472"/>
              </w:tabs>
              <w:spacing w:before="62"/>
              <w:ind w:left="1156"/>
            </w:pPr>
            <w:r>
              <w:t>年</w:t>
            </w:r>
            <w:r>
              <w:tab/>
              <w:t>月</w:t>
            </w:r>
            <w:r>
              <w:tab/>
              <w:t>日</w:t>
            </w:r>
            <w:r>
              <w:rPr>
                <w:spacing w:val="12"/>
              </w:rPr>
              <w:t xml:space="preserve"> </w:t>
            </w:r>
            <w:r>
              <w:t>生</w:t>
            </w:r>
          </w:p>
        </w:tc>
        <w:tc>
          <w:tcPr>
            <w:tcW w:w="1831" w:type="dxa"/>
            <w:tcBorders>
              <w:top w:val="single" w:sz="12" w:space="0" w:color="000000"/>
              <w:left w:val="nil"/>
            </w:tcBorders>
          </w:tcPr>
          <w:p w:rsidR="00E03AA9" w:rsidRDefault="008D5DB8">
            <w:pPr>
              <w:pStyle w:val="TableParagraph"/>
              <w:tabs>
                <w:tab w:val="left" w:pos="1150"/>
              </w:tabs>
              <w:spacing w:before="62"/>
              <w:ind w:left="234"/>
            </w:pPr>
            <w:r>
              <w:t>（満</w:t>
            </w:r>
            <w:r>
              <w:tab/>
              <w:t>歳）</w:t>
            </w:r>
          </w:p>
        </w:tc>
      </w:tr>
      <w:tr w:rsidR="00E03AA9">
        <w:trPr>
          <w:trHeight w:val="933"/>
        </w:trPr>
        <w:tc>
          <w:tcPr>
            <w:tcW w:w="1007" w:type="dxa"/>
          </w:tcPr>
          <w:p w:rsidR="00E03AA9" w:rsidRDefault="00E03AA9">
            <w:pPr>
              <w:pStyle w:val="TableParagraph"/>
              <w:spacing w:before="6"/>
              <w:rPr>
                <w:sz w:val="25"/>
              </w:rPr>
            </w:pPr>
          </w:p>
          <w:p w:rsidR="00E03AA9" w:rsidRDefault="008D5DB8">
            <w:pPr>
              <w:pStyle w:val="TableParagraph"/>
              <w:spacing w:before="1"/>
              <w:ind w:left="49" w:right="17"/>
              <w:jc w:val="center"/>
            </w:pPr>
            <w:r>
              <w:t>住所</w:t>
            </w:r>
          </w:p>
        </w:tc>
        <w:tc>
          <w:tcPr>
            <w:tcW w:w="9110" w:type="dxa"/>
            <w:gridSpan w:val="4"/>
          </w:tcPr>
          <w:p w:rsidR="00E03AA9" w:rsidRDefault="008D5DB8">
            <w:pPr>
              <w:pStyle w:val="TableParagraph"/>
              <w:spacing w:line="234" w:lineRule="exact"/>
              <w:ind w:left="165"/>
              <w:rPr>
                <w:sz w:val="20"/>
              </w:rPr>
            </w:pPr>
            <w:r>
              <w:rPr>
                <w:sz w:val="20"/>
              </w:rPr>
              <w:t>郵便番号</w:t>
            </w:r>
          </w:p>
          <w:p w:rsidR="00E03AA9" w:rsidRDefault="00E03AA9">
            <w:pPr>
              <w:pStyle w:val="TableParagraph"/>
              <w:rPr>
                <w:sz w:val="20"/>
              </w:rPr>
            </w:pPr>
          </w:p>
          <w:p w:rsidR="00E03AA9" w:rsidRDefault="008D5DB8">
            <w:pPr>
              <w:pStyle w:val="TableParagraph"/>
              <w:tabs>
                <w:tab w:val="left" w:pos="2436"/>
                <w:tab w:val="left" w:pos="3605"/>
              </w:tabs>
              <w:spacing w:before="163"/>
              <w:ind w:left="165"/>
              <w:rPr>
                <w:sz w:val="20"/>
              </w:rPr>
            </w:pPr>
            <w:r>
              <w:rPr>
                <w:sz w:val="20"/>
              </w:rPr>
              <w:t>電話番号</w:t>
            </w:r>
            <w:r>
              <w:rPr>
                <w:sz w:val="20"/>
              </w:rPr>
              <w:tab/>
              <w:t>（</w:t>
            </w:r>
            <w:r>
              <w:rPr>
                <w:sz w:val="20"/>
              </w:rPr>
              <w:tab/>
              <w:t>）</w:t>
            </w:r>
          </w:p>
        </w:tc>
      </w:tr>
    </w:tbl>
    <w:p w:rsidR="00E03AA9" w:rsidRDefault="00E03AA9">
      <w:pPr>
        <w:pStyle w:val="a3"/>
        <w:spacing w:before="1"/>
        <w:rPr>
          <w:sz w:val="29"/>
        </w:rPr>
      </w:pPr>
    </w:p>
    <w:p w:rsidR="00E03AA9" w:rsidRDefault="00556000">
      <w:pPr>
        <w:spacing w:before="72"/>
        <w:ind w:left="2447" w:right="2431"/>
        <w:jc w:val="center"/>
        <w:rPr>
          <w:sz w:val="20"/>
        </w:rPr>
      </w:pPr>
      <w:r>
        <w:rPr>
          <w:noProof/>
        </w:rPr>
        <w:pict>
          <v:group id="docshapegroup1" o:spid="_x0000_s1026" style="position:absolute;left:0;text-align:left;margin-left:52.8pt;margin-top:19.05pt;width:509.2pt;height:219.1pt;z-index:-251657216;mso-wrap-distance-left:0;mso-wrap-distance-right:0;mso-position-horizontal-relative:page" coordorigin="1056,381" coordsize="10152,4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style="position:absolute;left:1056;top:380;width:10152;height:4249">
              <v:imagedata r:id="rId5" o:title=""/>
            </v:shape>
            <v:shapetype id="_x0000_t202" coordsize="21600,21600" o:spt="202" path="m,l,21600r21600,l21600,xe">
              <v:stroke joinstyle="miter"/>
              <v:path gradientshapeok="t" o:connecttype="rect"/>
            </v:shapetype>
            <v:shape id="docshape3" o:spid="_x0000_s1027" type="#_x0000_t202" style="position:absolute;left:1056;top:380;width:10152;height:4249" filled="f" stroked="f">
              <v:textbox inset="0,0,0,0">
                <w:txbxContent>
                  <w:p w:rsidR="00E03AA9" w:rsidRDefault="00DA10D1">
                    <w:pPr>
                      <w:spacing w:before="70"/>
                      <w:ind w:left="47"/>
                      <w:rPr>
                        <w:sz w:val="20"/>
                      </w:rPr>
                    </w:pPr>
                    <w:r>
                      <w:rPr>
                        <w:spacing w:val="-1"/>
                        <w:w w:val="115"/>
                        <w:sz w:val="20"/>
                      </w:rPr>
                      <w:t>（</w:t>
                    </w:r>
                    <w:r w:rsidRPr="00556000">
                      <w:rPr>
                        <w:rFonts w:hint="eastAsia"/>
                        <w:spacing w:val="-1"/>
                        <w:w w:val="115"/>
                        <w:sz w:val="20"/>
                      </w:rPr>
                      <w:t>２</w:t>
                    </w:r>
                    <w:r w:rsidR="008D5DB8">
                      <w:rPr>
                        <w:spacing w:val="-1"/>
                        <w:w w:val="115"/>
                        <w:sz w:val="20"/>
                      </w:rPr>
                      <w:t>）インターフェロンフリー治療について</w:t>
                    </w:r>
                  </w:p>
                  <w:p w:rsidR="00E03AA9" w:rsidRDefault="00E03AA9">
                    <w:pPr>
                      <w:rPr>
                        <w:sz w:val="17"/>
                      </w:rPr>
                    </w:pPr>
                  </w:p>
                  <w:p w:rsidR="00E03AA9" w:rsidRDefault="008D5DB8">
                    <w:pPr>
                      <w:spacing w:line="211" w:lineRule="auto"/>
                      <w:ind w:left="47" w:right="180" w:firstLine="133"/>
                      <w:rPr>
                        <w:sz w:val="20"/>
                      </w:rPr>
                    </w:pPr>
                    <w:r>
                      <w:rPr>
                        <w:sz w:val="20"/>
                      </w:rPr>
                      <w:t>HCV-RNA陽性の</w:t>
                    </w:r>
                    <w:r>
                      <w:rPr>
                        <w:sz w:val="20"/>
                        <w:u w:val="single"/>
                      </w:rPr>
                      <w:t>C型慢性肝疾患（</w:t>
                    </w:r>
                    <w:r>
                      <w:rPr>
                        <w:sz w:val="20"/>
                      </w:rPr>
                      <w:t>C型慢性肝炎若しくはChild-Pugh分類AのC型代償性肝硬変</w:t>
                    </w:r>
                    <w:r>
                      <w:rPr>
                        <w:sz w:val="20"/>
                        <w:u w:val="single"/>
                      </w:rPr>
                      <w:t>又はChild-Pugh分類B</w:t>
                    </w:r>
                    <w:r>
                      <w:rPr>
                        <w:spacing w:val="1"/>
                        <w:sz w:val="20"/>
                        <w:u w:val="single"/>
                      </w:rPr>
                      <w:t xml:space="preserve"> </w:t>
                    </w:r>
                    <w:r>
                      <w:rPr>
                        <w:w w:val="105"/>
                        <w:sz w:val="20"/>
                        <w:u w:val="single"/>
                      </w:rPr>
                      <w:t xml:space="preserve">                                                                                                                                                                                                                                                                                                             若しくはCのC型非代償性肝硬変）</w:t>
                    </w:r>
                    <w:r>
                      <w:rPr>
                        <w:w w:val="105"/>
                        <w:sz w:val="20"/>
                      </w:rPr>
                      <w:t>で、インターフェロンを含まない抗ウイルス治療を行う予定、又は実施中の者のうち、</w:t>
                    </w:r>
                    <w:r>
                      <w:rPr>
                        <w:spacing w:val="59"/>
                        <w:w w:val="105"/>
                        <w:sz w:val="20"/>
                      </w:rPr>
                      <w:t xml:space="preserve"> </w:t>
                    </w:r>
                    <w:r>
                      <w:rPr>
                        <w:w w:val="105"/>
                        <w:sz w:val="20"/>
                      </w:rPr>
                      <w:t>肝がんの合併のないもの。</w:t>
                    </w:r>
                  </w:p>
                  <w:p w:rsidR="00E03AA9" w:rsidRDefault="00E03AA9">
                    <w:pPr>
                      <w:spacing w:before="6"/>
                      <w:rPr>
                        <w:sz w:val="17"/>
                      </w:rPr>
                    </w:pPr>
                  </w:p>
                  <w:p w:rsidR="00E03AA9" w:rsidRDefault="008D5DB8">
                    <w:pPr>
                      <w:spacing w:line="211" w:lineRule="auto"/>
                      <w:ind w:left="47" w:right="145"/>
                      <w:rPr>
                        <w:sz w:val="20"/>
                      </w:rPr>
                    </w:pPr>
                    <w:r>
                      <w:rPr>
                        <w:spacing w:val="3"/>
                        <w:w w:val="105"/>
                        <w:sz w:val="20"/>
                      </w:rPr>
                      <w:t>※１ 上記については、</w:t>
                    </w:r>
                    <w:r>
                      <w:rPr>
                        <w:w w:val="105"/>
                        <w:sz w:val="20"/>
                        <w:u w:val="single"/>
                      </w:rPr>
                      <w:t>C型慢性肝炎又はChild-Pugh分類ＡのC型代償性肝硬変に対しては</w:t>
                    </w:r>
                    <w:r>
                      <w:rPr>
                        <w:w w:val="105"/>
                        <w:sz w:val="20"/>
                      </w:rPr>
                      <w:t>原則１回のみの助成</w:t>
                    </w:r>
                    <w:r>
                      <w:rPr>
                        <w:w w:val="105"/>
                        <w:sz w:val="20"/>
                        <w:u w:val="single"/>
                      </w:rPr>
                      <w:t>とし、Child-Pugh分類B又はCのC型非代償性肝硬変に対しては１回のみの助成とする</w:t>
                    </w:r>
                    <w:r>
                      <w:rPr>
                        <w:w w:val="105"/>
                        <w:sz w:val="20"/>
                      </w:rPr>
                      <w:t>。ただし、インターフェロンフリー治療歴</w:t>
                    </w:r>
                    <w:r>
                      <w:rPr>
                        <w:spacing w:val="1"/>
                        <w:w w:val="105"/>
                        <w:sz w:val="20"/>
                      </w:rPr>
                      <w:t xml:space="preserve"> </w:t>
                    </w:r>
                    <w:r>
                      <w:rPr>
                        <w:w w:val="105"/>
                        <w:sz w:val="20"/>
                      </w:rPr>
                      <w:t xml:space="preserve">のある者については、肝疾患診療連携拠点病院に常勤する日本肝臓学会肝臓専門医によって他のインターフェロンフ  </w:t>
                    </w:r>
                    <w:r>
                      <w:rPr>
                        <w:spacing w:val="60"/>
                        <w:w w:val="105"/>
                        <w:sz w:val="20"/>
                      </w:rPr>
                      <w:t xml:space="preserve"> </w:t>
                    </w:r>
                    <w:r>
                      <w:rPr>
                        <w:w w:val="105"/>
                        <w:sz w:val="20"/>
                      </w:rPr>
                      <w:t>リー治療薬を用いた再治療を行うことが適切であると判断される場合に限り、改めて助成の対象とすることができる。な</w:t>
                    </w:r>
                    <w:r w:rsidR="00DA10D1">
                      <w:rPr>
                        <w:w w:val="105"/>
                        <w:sz w:val="20"/>
                      </w:rPr>
                      <w:t>お、２．（１）及び</w:t>
                    </w:r>
                    <w:r w:rsidR="00DA10D1" w:rsidRPr="00556000">
                      <w:rPr>
                        <w:rFonts w:hint="eastAsia"/>
                        <w:w w:val="105"/>
                        <w:sz w:val="20"/>
                      </w:rPr>
                      <w:t>ペグインターフェロン、リバビリン及びプロテアーゼ阻害薬による３剤併用療法</w:t>
                    </w:r>
                    <w:r>
                      <w:rPr>
                        <w:w w:val="105"/>
                        <w:sz w:val="20"/>
                      </w:rPr>
                      <w:t>に係る治療歴の有無を問わない。</w:t>
                    </w:r>
                  </w:p>
                  <w:p w:rsidR="00E03AA9" w:rsidRDefault="00E03AA9">
                    <w:pPr>
                      <w:spacing w:before="6"/>
                      <w:rPr>
                        <w:sz w:val="17"/>
                      </w:rPr>
                    </w:pPr>
                  </w:p>
                  <w:p w:rsidR="00E03AA9" w:rsidRDefault="008D5DB8">
                    <w:pPr>
                      <w:spacing w:line="211" w:lineRule="auto"/>
                      <w:ind w:left="47" w:right="175"/>
                      <w:rPr>
                        <w:sz w:val="20"/>
                      </w:rPr>
                    </w:pPr>
                    <w:r>
                      <w:rPr>
                        <w:w w:val="105"/>
                        <w:sz w:val="20"/>
                      </w:rPr>
                      <w:t>※２      上記について、初回治療に対する助成の申請にあたっては、インターフェロン</w:t>
                    </w:r>
                    <w:bookmarkStart w:id="0" w:name="_GoBack"/>
                    <w:bookmarkEnd w:id="0"/>
                    <w:r>
                      <w:rPr>
                        <w:w w:val="105"/>
                        <w:sz w:val="20"/>
                      </w:rPr>
                      <w:t>及びインターフェロンフリー治療指定医療機関の診断書作成医師が「肝炎治療受給者証の交付申請に係る診断書」を作成すること。</w:t>
                    </w:r>
                  </w:p>
                  <w:p w:rsidR="00E03AA9" w:rsidRDefault="00E03AA9">
                    <w:pPr>
                      <w:spacing w:before="7"/>
                      <w:rPr>
                        <w:sz w:val="17"/>
                      </w:rPr>
                    </w:pPr>
                  </w:p>
                  <w:p w:rsidR="00E03AA9" w:rsidRDefault="008D5DB8">
                    <w:pPr>
                      <w:spacing w:line="211" w:lineRule="auto"/>
                      <w:ind w:left="47" w:right="192"/>
                      <w:rPr>
                        <w:sz w:val="20"/>
                      </w:rPr>
                    </w:pPr>
                    <w:r>
                      <w:rPr>
                        <w:w w:val="105"/>
                        <w:sz w:val="20"/>
                      </w:rPr>
                      <w:t>※３ 上記について、再治療に対する助成の申請にあたっては、肝疾患診療連携拠点病院に常勤する日本肝臓学会肝臓専門医の判断を踏まえた上で、インターフェロン及びインターフェロンフリー治療指定医療機関の診断書作成医師が</w:t>
                    </w:r>
                  </w:p>
                  <w:p w:rsidR="00E03AA9" w:rsidRDefault="008D5DB8">
                    <w:pPr>
                      <w:spacing w:line="231" w:lineRule="exact"/>
                      <w:ind w:left="47"/>
                      <w:rPr>
                        <w:sz w:val="20"/>
                      </w:rPr>
                    </w:pPr>
                    <w:r>
                      <w:rPr>
                        <w:sz w:val="20"/>
                      </w:rPr>
                      <w:t>「肝炎治療受給者証の交付申請に係る診断書」を作成すること。</w:t>
                    </w:r>
                  </w:p>
                </w:txbxContent>
              </v:textbox>
            </v:shape>
            <w10:wrap type="topAndBottom" anchorx="page"/>
          </v:group>
        </w:pict>
      </w:r>
      <w:r w:rsidR="008D5DB8">
        <w:rPr>
          <w:sz w:val="20"/>
        </w:rPr>
        <w:t>熊本県肝炎治療特別促進事業実施要綱 （別記）認定基準（抜粋）</w:t>
      </w:r>
    </w:p>
    <w:p w:rsidR="00E03AA9" w:rsidRDefault="00E03AA9">
      <w:pPr>
        <w:pStyle w:val="a3"/>
        <w:spacing w:before="3"/>
        <w:rPr>
          <w:sz w:val="26"/>
        </w:rPr>
      </w:pPr>
    </w:p>
    <w:p w:rsidR="00E03AA9" w:rsidRDefault="008D5DB8">
      <w:pPr>
        <w:pStyle w:val="a3"/>
        <w:spacing w:before="70"/>
        <w:ind w:left="165"/>
      </w:pPr>
      <w:r>
        <w:rPr>
          <w:w w:val="105"/>
        </w:rPr>
        <w:t>１．本意見書を記載する医師は、以下の項目についても満たしている必要があります。</w:t>
      </w:r>
    </w:p>
    <w:p w:rsidR="00E03AA9" w:rsidRDefault="008D5DB8">
      <w:pPr>
        <w:pStyle w:val="a5"/>
        <w:numPr>
          <w:ilvl w:val="0"/>
          <w:numId w:val="2"/>
        </w:numPr>
        <w:tabs>
          <w:tab w:val="left" w:pos="972"/>
        </w:tabs>
        <w:spacing w:before="114"/>
        <w:ind w:hanging="223"/>
      </w:pPr>
      <w:r>
        <w:t>上記の肝炎治療特別促進事業の実務上の取扱いにおける認定基準を確認した。</w:t>
      </w:r>
    </w:p>
    <w:p w:rsidR="00E03AA9" w:rsidRDefault="00E03AA9">
      <w:pPr>
        <w:pStyle w:val="a3"/>
        <w:spacing w:before="3"/>
        <w:rPr>
          <w:sz w:val="16"/>
        </w:rPr>
      </w:pPr>
    </w:p>
    <w:p w:rsidR="00E03AA9" w:rsidRDefault="008D5DB8">
      <w:pPr>
        <w:pStyle w:val="a5"/>
        <w:numPr>
          <w:ilvl w:val="0"/>
          <w:numId w:val="2"/>
        </w:numPr>
        <w:tabs>
          <w:tab w:val="left" w:pos="972"/>
        </w:tabs>
        <w:ind w:hanging="223"/>
      </w:pPr>
      <w:r>
        <w:t>日本肝臓学会のＣ型肝炎治療ガイドラインを精読した。</w:t>
      </w:r>
    </w:p>
    <w:p w:rsidR="00E03AA9" w:rsidRDefault="00E03AA9">
      <w:pPr>
        <w:pStyle w:val="a3"/>
        <w:spacing w:before="3"/>
        <w:rPr>
          <w:sz w:val="16"/>
        </w:rPr>
      </w:pPr>
    </w:p>
    <w:p w:rsidR="00E03AA9" w:rsidRDefault="008D5DB8">
      <w:pPr>
        <w:pStyle w:val="a5"/>
        <w:numPr>
          <w:ilvl w:val="0"/>
          <w:numId w:val="2"/>
        </w:numPr>
        <w:tabs>
          <w:tab w:val="left" w:pos="972"/>
        </w:tabs>
        <w:ind w:hanging="223"/>
      </w:pPr>
      <w:r>
        <w:rPr>
          <w:w w:val="105"/>
        </w:rPr>
        <w:t>ウイルス性肝疾患の治療に十分な知識・経験を持っている。</w:t>
      </w:r>
    </w:p>
    <w:p w:rsidR="00E03AA9" w:rsidRDefault="00E03AA9">
      <w:pPr>
        <w:pStyle w:val="a3"/>
        <w:spacing w:before="4"/>
        <w:rPr>
          <w:sz w:val="19"/>
        </w:rPr>
      </w:pPr>
    </w:p>
    <w:p w:rsidR="00E03AA9" w:rsidRDefault="008D5DB8">
      <w:pPr>
        <w:pStyle w:val="a3"/>
        <w:spacing w:before="69"/>
        <w:ind w:left="165"/>
      </w:pPr>
      <w:r>
        <w:rPr>
          <w:w w:val="105"/>
        </w:rPr>
        <w:t>２．</w:t>
      </w:r>
      <w:r>
        <w:rPr>
          <w:w w:val="105"/>
          <w:u w:val="single"/>
        </w:rPr>
        <w:t>該当する意見</w:t>
      </w:r>
      <w:r>
        <w:rPr>
          <w:w w:val="105"/>
        </w:rPr>
        <w:t>にチェックの上返信して下さい。</w:t>
      </w:r>
    </w:p>
    <w:p w:rsidR="00E03AA9" w:rsidRDefault="00E03AA9">
      <w:pPr>
        <w:pStyle w:val="a3"/>
        <w:spacing w:before="4"/>
        <w:rPr>
          <w:sz w:val="8"/>
        </w:rPr>
      </w:pPr>
    </w:p>
    <w:p w:rsidR="00E03AA9" w:rsidRDefault="008D5DB8">
      <w:pPr>
        <w:pStyle w:val="a5"/>
        <w:numPr>
          <w:ilvl w:val="0"/>
          <w:numId w:val="1"/>
        </w:numPr>
        <w:tabs>
          <w:tab w:val="left" w:pos="825"/>
        </w:tabs>
        <w:spacing w:before="70" w:line="263" w:lineRule="exact"/>
        <w:ind w:hanging="367"/>
      </w:pPr>
      <w:r>
        <w:rPr>
          <w:w w:val="110"/>
          <w:u w:val="single"/>
        </w:rPr>
        <w:t>インターフェロンフリー治療による再治療は、適切である。</w:t>
      </w:r>
    </w:p>
    <w:p w:rsidR="00E03AA9" w:rsidRDefault="008D5DB8">
      <w:pPr>
        <w:pStyle w:val="a3"/>
        <w:tabs>
          <w:tab w:val="left" w:pos="7657"/>
        </w:tabs>
        <w:spacing w:line="245" w:lineRule="exact"/>
        <w:ind w:left="749"/>
      </w:pPr>
      <w:r>
        <w:rPr>
          <w:noProof/>
        </w:rPr>
        <w:drawing>
          <wp:anchor distT="0" distB="0" distL="0" distR="0" simplePos="0" relativeHeight="15729664" behindDoc="0" locked="0" layoutInCell="1" allowOverlap="1">
            <wp:simplePos x="0" y="0"/>
            <wp:positionH relativeFrom="page">
              <wp:posOffset>1073086</wp:posOffset>
            </wp:positionH>
            <wp:positionV relativeFrom="paragraph">
              <wp:posOffset>137441</wp:posOffset>
            </wp:positionV>
            <wp:extent cx="4458208" cy="1099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458208" cy="10997"/>
                    </a:xfrm>
                    <a:prstGeom prst="rect">
                      <a:avLst/>
                    </a:prstGeom>
                  </pic:spPr>
                </pic:pic>
              </a:graphicData>
            </a:graphic>
          </wp:anchor>
        </w:drawing>
      </w:r>
      <w:r>
        <w:rPr>
          <w:w w:val="105"/>
        </w:rPr>
        <w:t>（推奨する治療：</w:t>
      </w:r>
      <w:r>
        <w:rPr>
          <w:w w:val="105"/>
        </w:rPr>
        <w:tab/>
        <w:t>）</w:t>
      </w:r>
    </w:p>
    <w:p w:rsidR="00E03AA9" w:rsidRDefault="008D5DB8">
      <w:pPr>
        <w:pStyle w:val="a5"/>
        <w:numPr>
          <w:ilvl w:val="0"/>
          <w:numId w:val="1"/>
        </w:numPr>
        <w:tabs>
          <w:tab w:val="left" w:pos="825"/>
        </w:tabs>
        <w:spacing w:line="263" w:lineRule="exact"/>
        <w:ind w:hanging="367"/>
      </w:pPr>
      <w:r>
        <w:rPr>
          <w:w w:val="110"/>
          <w:u w:val="single"/>
        </w:rPr>
        <w:t>インターフェロンフリー治療による再治療は、適切ではない。</w:t>
      </w:r>
    </w:p>
    <w:p w:rsidR="00E03AA9" w:rsidRDefault="00E03AA9">
      <w:pPr>
        <w:pStyle w:val="a3"/>
        <w:spacing w:before="11"/>
        <w:rPr>
          <w:sz w:val="8"/>
        </w:rPr>
      </w:pPr>
    </w:p>
    <w:p w:rsidR="00E03AA9" w:rsidRDefault="008D5DB8">
      <w:pPr>
        <w:pStyle w:val="a3"/>
        <w:tabs>
          <w:tab w:val="left" w:pos="8671"/>
          <w:tab w:val="left" w:pos="9329"/>
          <w:tab w:val="left" w:pos="9987"/>
        </w:tabs>
        <w:spacing w:before="70"/>
        <w:ind w:left="6256"/>
      </w:pPr>
      <w:r>
        <w:t>記載年月日</w:t>
      </w:r>
      <w:r>
        <w:tab/>
        <w:t>年</w:t>
      </w:r>
      <w:r>
        <w:tab/>
        <w:t>月</w:t>
      </w:r>
      <w:r>
        <w:tab/>
        <w:t>日</w:t>
      </w:r>
    </w:p>
    <w:p w:rsidR="00E03AA9" w:rsidRDefault="008D5DB8">
      <w:pPr>
        <w:pStyle w:val="a3"/>
        <w:spacing w:before="44"/>
        <w:ind w:left="165"/>
      </w:pPr>
      <w:r>
        <w:t>肝疾患診療連携拠点病院名及び所在地</w:t>
      </w:r>
    </w:p>
    <w:p w:rsidR="00E03AA9" w:rsidRDefault="00E03AA9">
      <w:pPr>
        <w:pStyle w:val="a3"/>
        <w:rPr>
          <w:sz w:val="20"/>
        </w:rPr>
      </w:pPr>
    </w:p>
    <w:p w:rsidR="00E03AA9" w:rsidRDefault="00E03AA9">
      <w:pPr>
        <w:pStyle w:val="a3"/>
        <w:rPr>
          <w:sz w:val="20"/>
        </w:rPr>
      </w:pPr>
    </w:p>
    <w:p w:rsidR="00E03AA9" w:rsidRDefault="00E03AA9">
      <w:pPr>
        <w:pStyle w:val="a3"/>
        <w:rPr>
          <w:sz w:val="20"/>
        </w:rPr>
      </w:pPr>
    </w:p>
    <w:p w:rsidR="00E03AA9" w:rsidRDefault="00E03AA9">
      <w:pPr>
        <w:pStyle w:val="a3"/>
        <w:spacing w:before="1"/>
        <w:rPr>
          <w:sz w:val="23"/>
        </w:rPr>
      </w:pPr>
    </w:p>
    <w:p w:rsidR="00E03AA9" w:rsidRDefault="008D5DB8">
      <w:pPr>
        <w:pStyle w:val="a3"/>
        <w:tabs>
          <w:tab w:val="left" w:pos="9988"/>
        </w:tabs>
        <w:spacing w:before="70"/>
        <w:ind w:left="165"/>
      </w:pPr>
      <w:r>
        <w:rPr>
          <w:w w:val="105"/>
        </w:rPr>
        <w:t>本意見を述べた日本肝臓学会肝臓専門医の氏名</w:t>
      </w:r>
      <w:r>
        <w:rPr>
          <w:w w:val="105"/>
        </w:rPr>
        <w:tab/>
      </w:r>
    </w:p>
    <w:p w:rsidR="00E03AA9" w:rsidRDefault="008D5DB8">
      <w:pPr>
        <w:pStyle w:val="a3"/>
        <w:spacing w:before="3"/>
        <w:rPr>
          <w:sz w:val="4"/>
        </w:rPr>
      </w:pPr>
      <w:r>
        <w:rPr>
          <w:noProof/>
        </w:rPr>
        <w:drawing>
          <wp:anchor distT="0" distB="0" distL="0" distR="0" simplePos="0" relativeHeight="251660288" behindDoc="0" locked="0" layoutInCell="1" allowOverlap="1">
            <wp:simplePos x="0" y="0"/>
            <wp:positionH relativeFrom="page">
              <wp:posOffset>3859276</wp:posOffset>
            </wp:positionH>
            <wp:positionV relativeFrom="paragraph">
              <wp:posOffset>50282</wp:posOffset>
            </wp:positionV>
            <wp:extent cx="3269399" cy="12763"/>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3269399" cy="12763"/>
                    </a:xfrm>
                    <a:prstGeom prst="rect">
                      <a:avLst/>
                    </a:prstGeom>
                  </pic:spPr>
                </pic:pic>
              </a:graphicData>
            </a:graphic>
          </wp:anchor>
        </w:drawing>
      </w:r>
    </w:p>
    <w:p w:rsidR="00E03AA9" w:rsidRDefault="00E03AA9">
      <w:pPr>
        <w:pStyle w:val="a3"/>
        <w:spacing w:before="1"/>
        <w:rPr>
          <w:sz w:val="18"/>
        </w:rPr>
      </w:pPr>
    </w:p>
    <w:p w:rsidR="00E03AA9" w:rsidRDefault="00E03AA9">
      <w:pPr>
        <w:rPr>
          <w:sz w:val="18"/>
        </w:rPr>
        <w:sectPr w:rsidR="00E03AA9">
          <w:type w:val="continuous"/>
          <w:pgSz w:w="12280" w:h="17360"/>
          <w:pgMar w:top="440" w:right="960" w:bottom="280" w:left="940" w:header="720" w:footer="720" w:gutter="0"/>
          <w:cols w:space="720"/>
        </w:sectPr>
      </w:pPr>
    </w:p>
    <w:p w:rsidR="00E03AA9" w:rsidRDefault="008D5DB8">
      <w:pPr>
        <w:spacing w:before="83"/>
        <w:ind w:left="554"/>
        <w:rPr>
          <w:sz w:val="20"/>
        </w:rPr>
      </w:pPr>
      <w:r>
        <w:rPr>
          <w:spacing w:val="-2"/>
          <w:sz w:val="20"/>
        </w:rPr>
        <w:lastRenderedPageBreak/>
        <w:t>（</w:t>
      </w:r>
      <w:r>
        <w:rPr>
          <w:spacing w:val="-1"/>
          <w:sz w:val="20"/>
        </w:rPr>
        <w:t>注）</w:t>
      </w:r>
    </w:p>
    <w:p w:rsidR="00DE65A4" w:rsidRDefault="008D5DB8">
      <w:pPr>
        <w:spacing w:before="81" w:line="230" w:lineRule="auto"/>
        <w:ind w:left="169" w:right="161"/>
        <w:rPr>
          <w:w w:val="105"/>
          <w:sz w:val="20"/>
        </w:rPr>
      </w:pPr>
      <w:r>
        <w:br w:type="column"/>
      </w:r>
      <w:r>
        <w:rPr>
          <w:w w:val="105"/>
          <w:sz w:val="20"/>
        </w:rPr>
        <w:lastRenderedPageBreak/>
        <w:t xml:space="preserve">１．本意見書の有効期間は、記載日から起算して３ヶ月以内です。 </w:t>
      </w:r>
    </w:p>
    <w:p w:rsidR="00E03AA9" w:rsidRDefault="008D5DB8" w:rsidP="00DE65A4">
      <w:pPr>
        <w:spacing w:before="81" w:line="230" w:lineRule="auto"/>
        <w:ind w:right="161"/>
        <w:rPr>
          <w:sz w:val="20"/>
        </w:rPr>
      </w:pPr>
      <w:r>
        <w:rPr>
          <w:spacing w:val="47"/>
          <w:w w:val="105"/>
          <w:sz w:val="20"/>
        </w:rPr>
        <w:t xml:space="preserve"> </w:t>
      </w:r>
      <w:r>
        <w:rPr>
          <w:sz w:val="20"/>
        </w:rPr>
        <w:t>２．本意見書は肝疾患診療連携拠点病院に常勤する日本肝臓学会肝臓専門医が記載する必要があります。</w:t>
      </w:r>
    </w:p>
    <w:sectPr w:rsidR="00E03AA9">
      <w:type w:val="continuous"/>
      <w:pgSz w:w="12280" w:h="17360"/>
      <w:pgMar w:top="440" w:right="960" w:bottom="280" w:left="940" w:header="720" w:footer="720" w:gutter="0"/>
      <w:cols w:num="2" w:space="720" w:equalWidth="0">
        <w:col w:w="957" w:space="40"/>
        <w:col w:w="93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397F"/>
    <w:multiLevelType w:val="hybridMultilevel"/>
    <w:tmpl w:val="FFFFFFFF"/>
    <w:lvl w:ilvl="0" w:tplc="F5160E4A">
      <w:numFmt w:val="bullet"/>
      <w:lvlText w:val="□"/>
      <w:lvlJc w:val="left"/>
      <w:pPr>
        <w:ind w:left="824" w:hanging="366"/>
      </w:pPr>
      <w:rPr>
        <w:rFonts w:ascii="MS UI Gothic" w:eastAsia="MS UI Gothic" w:hAnsi="MS UI Gothic" w:cs="MS UI Gothic" w:hint="default"/>
        <w:b w:val="0"/>
        <w:bCs w:val="0"/>
        <w:i w:val="0"/>
        <w:iCs w:val="0"/>
        <w:w w:val="100"/>
        <w:sz w:val="22"/>
        <w:szCs w:val="22"/>
        <w:lang w:val="en-US" w:eastAsia="ja-JP" w:bidi="ar-SA"/>
      </w:rPr>
    </w:lvl>
    <w:lvl w:ilvl="1" w:tplc="A4666FDA">
      <w:numFmt w:val="bullet"/>
      <w:lvlText w:val="•"/>
      <w:lvlJc w:val="left"/>
      <w:pPr>
        <w:ind w:left="1775" w:hanging="366"/>
      </w:pPr>
      <w:rPr>
        <w:rFonts w:hint="default"/>
        <w:lang w:val="en-US" w:eastAsia="ja-JP" w:bidi="ar-SA"/>
      </w:rPr>
    </w:lvl>
    <w:lvl w:ilvl="2" w:tplc="6F465174">
      <w:numFmt w:val="bullet"/>
      <w:lvlText w:val="•"/>
      <w:lvlJc w:val="left"/>
      <w:pPr>
        <w:ind w:left="2730" w:hanging="366"/>
      </w:pPr>
      <w:rPr>
        <w:rFonts w:hint="default"/>
        <w:lang w:val="en-US" w:eastAsia="ja-JP" w:bidi="ar-SA"/>
      </w:rPr>
    </w:lvl>
    <w:lvl w:ilvl="3" w:tplc="5C9AEDDA">
      <w:numFmt w:val="bullet"/>
      <w:lvlText w:val="•"/>
      <w:lvlJc w:val="left"/>
      <w:pPr>
        <w:ind w:left="3686" w:hanging="366"/>
      </w:pPr>
      <w:rPr>
        <w:rFonts w:hint="default"/>
        <w:lang w:val="en-US" w:eastAsia="ja-JP" w:bidi="ar-SA"/>
      </w:rPr>
    </w:lvl>
    <w:lvl w:ilvl="4" w:tplc="82AEC738">
      <w:numFmt w:val="bullet"/>
      <w:lvlText w:val="•"/>
      <w:lvlJc w:val="left"/>
      <w:pPr>
        <w:ind w:left="4641" w:hanging="366"/>
      </w:pPr>
      <w:rPr>
        <w:rFonts w:hint="default"/>
        <w:lang w:val="en-US" w:eastAsia="ja-JP" w:bidi="ar-SA"/>
      </w:rPr>
    </w:lvl>
    <w:lvl w:ilvl="5" w:tplc="62E45630">
      <w:numFmt w:val="bullet"/>
      <w:lvlText w:val="•"/>
      <w:lvlJc w:val="left"/>
      <w:pPr>
        <w:ind w:left="5597" w:hanging="366"/>
      </w:pPr>
      <w:rPr>
        <w:rFonts w:hint="default"/>
        <w:lang w:val="en-US" w:eastAsia="ja-JP" w:bidi="ar-SA"/>
      </w:rPr>
    </w:lvl>
    <w:lvl w:ilvl="6" w:tplc="D5B8AAA4">
      <w:numFmt w:val="bullet"/>
      <w:lvlText w:val="•"/>
      <w:lvlJc w:val="left"/>
      <w:pPr>
        <w:ind w:left="6552" w:hanging="366"/>
      </w:pPr>
      <w:rPr>
        <w:rFonts w:hint="default"/>
        <w:lang w:val="en-US" w:eastAsia="ja-JP" w:bidi="ar-SA"/>
      </w:rPr>
    </w:lvl>
    <w:lvl w:ilvl="7" w:tplc="08B202C4">
      <w:numFmt w:val="bullet"/>
      <w:lvlText w:val="•"/>
      <w:lvlJc w:val="left"/>
      <w:pPr>
        <w:ind w:left="7508" w:hanging="366"/>
      </w:pPr>
      <w:rPr>
        <w:rFonts w:hint="default"/>
        <w:lang w:val="en-US" w:eastAsia="ja-JP" w:bidi="ar-SA"/>
      </w:rPr>
    </w:lvl>
    <w:lvl w:ilvl="8" w:tplc="87007E82">
      <w:numFmt w:val="bullet"/>
      <w:lvlText w:val="•"/>
      <w:lvlJc w:val="left"/>
      <w:pPr>
        <w:ind w:left="8463" w:hanging="366"/>
      </w:pPr>
      <w:rPr>
        <w:rFonts w:hint="default"/>
        <w:lang w:val="en-US" w:eastAsia="ja-JP" w:bidi="ar-SA"/>
      </w:rPr>
    </w:lvl>
  </w:abstractNum>
  <w:abstractNum w:abstractNumId="1" w15:restartNumberingAfterBreak="0">
    <w:nsid w:val="66453B49"/>
    <w:multiLevelType w:val="hybridMultilevel"/>
    <w:tmpl w:val="FFFFFFFF"/>
    <w:lvl w:ilvl="0" w:tplc="269CB912">
      <w:numFmt w:val="bullet"/>
      <w:lvlText w:val="✓"/>
      <w:lvlJc w:val="left"/>
      <w:pPr>
        <w:ind w:left="971" w:hanging="222"/>
      </w:pPr>
      <w:rPr>
        <w:rFonts w:ascii="MS UI Gothic" w:eastAsia="MS UI Gothic" w:hAnsi="MS UI Gothic" w:cs="MS UI Gothic" w:hint="default"/>
        <w:b w:val="0"/>
        <w:bCs w:val="0"/>
        <w:i w:val="0"/>
        <w:iCs w:val="0"/>
        <w:w w:val="100"/>
        <w:sz w:val="20"/>
        <w:szCs w:val="20"/>
        <w:lang w:val="en-US" w:eastAsia="ja-JP" w:bidi="ar-SA"/>
      </w:rPr>
    </w:lvl>
    <w:lvl w:ilvl="1" w:tplc="978C75E6">
      <w:numFmt w:val="bullet"/>
      <w:lvlText w:val="•"/>
      <w:lvlJc w:val="left"/>
      <w:pPr>
        <w:ind w:left="1919" w:hanging="222"/>
      </w:pPr>
      <w:rPr>
        <w:rFonts w:hint="default"/>
        <w:lang w:val="en-US" w:eastAsia="ja-JP" w:bidi="ar-SA"/>
      </w:rPr>
    </w:lvl>
    <w:lvl w:ilvl="2" w:tplc="9BE08298">
      <w:numFmt w:val="bullet"/>
      <w:lvlText w:val="•"/>
      <w:lvlJc w:val="left"/>
      <w:pPr>
        <w:ind w:left="2858" w:hanging="222"/>
      </w:pPr>
      <w:rPr>
        <w:rFonts w:hint="default"/>
        <w:lang w:val="en-US" w:eastAsia="ja-JP" w:bidi="ar-SA"/>
      </w:rPr>
    </w:lvl>
    <w:lvl w:ilvl="3" w:tplc="8EDC17FA">
      <w:numFmt w:val="bullet"/>
      <w:lvlText w:val="•"/>
      <w:lvlJc w:val="left"/>
      <w:pPr>
        <w:ind w:left="3798" w:hanging="222"/>
      </w:pPr>
      <w:rPr>
        <w:rFonts w:hint="default"/>
        <w:lang w:val="en-US" w:eastAsia="ja-JP" w:bidi="ar-SA"/>
      </w:rPr>
    </w:lvl>
    <w:lvl w:ilvl="4" w:tplc="5A24710C">
      <w:numFmt w:val="bullet"/>
      <w:lvlText w:val="•"/>
      <w:lvlJc w:val="left"/>
      <w:pPr>
        <w:ind w:left="4737" w:hanging="222"/>
      </w:pPr>
      <w:rPr>
        <w:rFonts w:hint="default"/>
        <w:lang w:val="en-US" w:eastAsia="ja-JP" w:bidi="ar-SA"/>
      </w:rPr>
    </w:lvl>
    <w:lvl w:ilvl="5" w:tplc="73AADBAC">
      <w:numFmt w:val="bullet"/>
      <w:lvlText w:val="•"/>
      <w:lvlJc w:val="left"/>
      <w:pPr>
        <w:ind w:left="5677" w:hanging="222"/>
      </w:pPr>
      <w:rPr>
        <w:rFonts w:hint="default"/>
        <w:lang w:val="en-US" w:eastAsia="ja-JP" w:bidi="ar-SA"/>
      </w:rPr>
    </w:lvl>
    <w:lvl w:ilvl="6" w:tplc="F3746800">
      <w:numFmt w:val="bullet"/>
      <w:lvlText w:val="•"/>
      <w:lvlJc w:val="left"/>
      <w:pPr>
        <w:ind w:left="6616" w:hanging="222"/>
      </w:pPr>
      <w:rPr>
        <w:rFonts w:hint="default"/>
        <w:lang w:val="en-US" w:eastAsia="ja-JP" w:bidi="ar-SA"/>
      </w:rPr>
    </w:lvl>
    <w:lvl w:ilvl="7" w:tplc="3BC0C53C">
      <w:numFmt w:val="bullet"/>
      <w:lvlText w:val="•"/>
      <w:lvlJc w:val="left"/>
      <w:pPr>
        <w:ind w:left="7556" w:hanging="222"/>
      </w:pPr>
      <w:rPr>
        <w:rFonts w:hint="default"/>
        <w:lang w:val="en-US" w:eastAsia="ja-JP" w:bidi="ar-SA"/>
      </w:rPr>
    </w:lvl>
    <w:lvl w:ilvl="8" w:tplc="4B3000D8">
      <w:numFmt w:val="bullet"/>
      <w:lvlText w:val="•"/>
      <w:lvlJc w:val="left"/>
      <w:pPr>
        <w:ind w:left="8495" w:hanging="222"/>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E03AA9"/>
    <w:rsid w:val="00556000"/>
    <w:rsid w:val="008D5DB8"/>
    <w:rsid w:val="00CF300B"/>
    <w:rsid w:val="00DA10D1"/>
    <w:rsid w:val="00DE65A4"/>
    <w:rsid w:val="00E03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31091C8D"/>
  <w15:docId w15:val="{9F931B29-615E-504A-AD59-FC94BB35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2"/>
      <w:ind w:left="2426" w:right="2431"/>
      <w:jc w:val="center"/>
    </w:pPr>
    <w:rPr>
      <w:rFonts w:ascii="Yu Gothic UI" w:eastAsia="Yu Gothic UI" w:hAnsi="Yu Gothic UI" w:cs="Yu Gothic UI"/>
      <w:b/>
      <w:bCs/>
    </w:rPr>
  </w:style>
  <w:style w:type="paragraph" w:styleId="a5">
    <w:name w:val="List Paragraph"/>
    <w:basedOn w:val="a"/>
    <w:uiPriority w:val="1"/>
    <w:qFormat/>
    <w:pPr>
      <w:ind w:left="971" w:hanging="22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9450312</cp:lastModifiedBy>
  <cp:revision>5</cp:revision>
  <cp:lastPrinted>2022-04-14T06:33:00Z</cp:lastPrinted>
  <dcterms:created xsi:type="dcterms:W3CDTF">2022-04-14T06:33:00Z</dcterms:created>
  <dcterms:modified xsi:type="dcterms:W3CDTF">2022-05-09T02:02:00Z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Excel® 2010</vt:lpwstr>
  </property>
  <property fmtid="{D5CDD505-2E9C-101B-9397-08002B2CF9AE}" pid="4" name="LastSaved">
    <vt:filetime>2022-04-11T00:00:00Z</vt:filetime>
  </property>
</Properties>
</file>